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32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70B0">
              <w:rPr>
                <w:rFonts w:ascii="Arial" w:hAnsi="Arial" w:cs="Arial"/>
                <w:noProof/>
              </w:rPr>
              <w:t>Departamento de Gestion de Horas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 w:rsidP="00327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70B0">
              <w:rPr>
                <w:rFonts w:ascii="Arial" w:hAnsi="Arial" w:cs="Arial"/>
                <w:noProof/>
              </w:rPr>
              <w:t>Montevideo</w:t>
            </w:r>
            <w:bookmarkStart w:id="6" w:name="_GoBack"/>
            <w:bookmarkEnd w:id="6"/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A3" w:rsidRDefault="001763A3" w:rsidP="000051D0">
      <w:pPr>
        <w:spacing w:after="0" w:line="240" w:lineRule="auto"/>
      </w:pPr>
      <w:r>
        <w:separator/>
      </w:r>
    </w:p>
  </w:endnote>
  <w:endnote w:type="continuationSeparator" w:id="0">
    <w:p w:rsidR="001763A3" w:rsidRDefault="001763A3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A3" w:rsidRDefault="001763A3" w:rsidP="000051D0">
      <w:pPr>
        <w:spacing w:after="0" w:line="240" w:lineRule="auto"/>
      </w:pPr>
      <w:r>
        <w:separator/>
      </w:r>
    </w:p>
  </w:footnote>
  <w:footnote w:type="continuationSeparator" w:id="0">
    <w:p w:rsidR="001763A3" w:rsidRDefault="001763A3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763A3"/>
    <w:rsid w:val="001E4C7B"/>
    <w:rsid w:val="00253BCE"/>
    <w:rsid w:val="003270B0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437C-5E9E-4AD6-9218-334B733D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EMILIO PICO BENVENUTO</dc:creator>
  <cp:lastModifiedBy>MATIAS EMILIO PICO BENVENUTO</cp:lastModifiedBy>
  <cp:revision>2</cp:revision>
  <cp:lastPrinted>2022-03-31T16:49:00Z</cp:lastPrinted>
  <dcterms:created xsi:type="dcterms:W3CDTF">2016-11-28T17:21:00Z</dcterms:created>
  <dcterms:modified xsi:type="dcterms:W3CDTF">2022-03-31T16:50:00Z</dcterms:modified>
</cp:coreProperties>
</file>